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E8E">
        <w:rPr>
          <w:rFonts w:ascii="Times New Roman" w:hAnsi="Times New Roman" w:cs="Times New Roman"/>
          <w:b/>
          <w:sz w:val="28"/>
          <w:szCs w:val="28"/>
        </w:rPr>
        <w:t>О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хранные зоны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приобретая земельный участок</w:t>
      </w:r>
    </w:p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Задумываясь о приобретении земельного участка необходимо тщательно собрать максимально полную информацию о нем.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территорий.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виды охранных зон?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Охранная зона устанавливается в зависимости от вида охран</w:t>
      </w:r>
      <w:r>
        <w:rPr>
          <w:rFonts w:ascii="Times New Roman" w:hAnsi="Times New Roman" w:cs="Times New Roman"/>
          <w:sz w:val="28"/>
          <w:szCs w:val="28"/>
        </w:rPr>
        <w:t>яемого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Перечень видов зон установлен Земельным кодексом, согласно которому определено 28 видов зон с особыми условиями использования территории, например, охранные зоны трубопроводов, объектов электросетевого хозяйства, линий сооружений и связи, придорожные полосы и т.д.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В зависимости от вида зон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 узнать, какие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охранные зоны есть на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При проверке планируемого к приобретению земельного участка особое внимание следует уделять размещенным в е</w:t>
      </w:r>
      <w:r>
        <w:rPr>
          <w:rFonts w:ascii="Times New Roman" w:hAnsi="Times New Roman" w:cs="Times New Roman"/>
          <w:sz w:val="28"/>
          <w:szCs w:val="28"/>
        </w:rPr>
        <w:t xml:space="preserve">го границах либо на прилегающих </w:t>
      </w:r>
      <w:r w:rsidRPr="0012578B">
        <w:rPr>
          <w:rFonts w:ascii="Times New Roman" w:hAnsi="Times New Roman" w:cs="Times New Roman"/>
          <w:sz w:val="28"/>
          <w:szCs w:val="28"/>
        </w:rPr>
        <w:t>участках инженерным сетям. Например, вокруг надземного или подземного трубопровода возникает охранная зона, режим которой может стать неприятным сюрпризом для застройщика, особенно это касается подземных сооружений, которые визуально обнаружить невозможно.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Поэтому необходимо заказать выписку из Единого государственного реестра недвижимости ЕГРН) и посмотреть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Росреестра. Также можно сделать запрос в органы архитектуры о том, какие охранные зоны содержатся в документации по планировке территории.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Охранная зона в выпи</w:t>
      </w:r>
      <w:r>
        <w:rPr>
          <w:rFonts w:ascii="Times New Roman" w:hAnsi="Times New Roman" w:cs="Times New Roman"/>
          <w:b/>
          <w:sz w:val="28"/>
          <w:szCs w:val="28"/>
        </w:rPr>
        <w:t>ске из ЕГРН не указана, почему?</w:t>
      </w:r>
    </w:p>
    <w:p w:rsidR="00A42C06" w:rsidRPr="0012578B" w:rsidRDefault="00A42C06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lastRenderedPageBreak/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</w:t>
      </w:r>
      <w:r>
        <w:rPr>
          <w:rFonts w:ascii="Times New Roman" w:hAnsi="Times New Roman" w:cs="Times New Roman"/>
          <w:sz w:val="28"/>
          <w:szCs w:val="28"/>
        </w:rPr>
        <w:t>т возникнуть множество проблем.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Чем опасны охра</w:t>
      </w:r>
      <w:r>
        <w:rPr>
          <w:rFonts w:ascii="Times New Roman" w:hAnsi="Times New Roman" w:cs="Times New Roman"/>
          <w:b/>
          <w:sz w:val="28"/>
          <w:szCs w:val="28"/>
        </w:rPr>
        <w:t>нные зоны на земельном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Любая охранная зона предполагает наличие ограничений по целевому использованию земельного участка. Охранная зона газопровода или ЛЭП может повлечь запрет на строительство каких-либо зданий, строений и 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Происходит ли из</w:t>
      </w:r>
      <w:r>
        <w:rPr>
          <w:rFonts w:ascii="Times New Roman" w:hAnsi="Times New Roman" w:cs="Times New Roman"/>
          <w:b/>
          <w:sz w:val="28"/>
          <w:szCs w:val="28"/>
        </w:rPr>
        <w:t>ъятие участков в охранной зоне?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Земельные участки у их собственников, землепользователей, землевладельцев и арендаторов не изымаются, но в границах этих участков может быть введен особый режим их использования, ограничивающий или запрещающий те виды деятельности, которые несовместимы с целями установления таких зон.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Кто согласовывает рабо</w:t>
      </w:r>
      <w:r>
        <w:rPr>
          <w:rFonts w:ascii="Times New Roman" w:hAnsi="Times New Roman" w:cs="Times New Roman"/>
          <w:b/>
          <w:sz w:val="28"/>
          <w:szCs w:val="28"/>
        </w:rPr>
        <w:t>ты в охранной зоне газопровода?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Любые земляные, взрывные, строительные работы, а также иные действия, которые могут повлечь сбой нормальной эксплуатации газопровода, проводятся только по согласованию с собственником линейного промышленного объекта. Перед тем, как осуществлять согласование, для определения местоположения участка охранной зоны необходимо запросить сведения Единого государственного реестра недвижимости.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Можно ли изменить охранную зону земельного участка?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Если у землепользователя возникли сомнения в правильности установленных размеров охранной зоны, возможно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Какая ответственность предусмотрена за работы в охранной зоне без согласования?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Для должностных лиц организаций это будет, в первую очередь, дисциплинарная ответственность, а дальше, в зависимости от последствий, может наступить административная, уголовная ответственность. Так, например, работы в охранной зоне газопровода без согласования газовой организации могут повлечь взрыв и нанести вред здоровью проводивших работы лиц. Очевидно, что за такое происшествие должностное лицо привлекут к уголовной ответственности. Если речь идет о действиях организации, работы которой привели к сбою газовой системы, то это в первую очередь будет гражданско-правовые по</w:t>
      </w:r>
      <w:r>
        <w:rPr>
          <w:rFonts w:ascii="Times New Roman" w:hAnsi="Times New Roman" w:cs="Times New Roman"/>
          <w:sz w:val="28"/>
          <w:szCs w:val="28"/>
        </w:rPr>
        <w:t>следствия и возмещение убытков.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С кого взыскать убытки, если охранная зона не позволяет использовать земельный участок по назначению?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18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Убытки взыскиваются с собственника объекта, для которого установлена охранная зона. Если убытки не возмещаются либо возмещаются в незначительном размере, необходимо обращаться в суд.</w:t>
      </w: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Pr="00B03725" w:rsidRDefault="009F17FE" w:rsidP="009F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</w:t>
      </w:r>
      <w:proofErr w:type="spellStart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mail</w:t>
      </w:r>
      <w:proofErr w:type="spellEnd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6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9F17FE" w:rsidRPr="0012578B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7FE" w:rsidRPr="0012578B" w:rsidSect="001257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0E"/>
    <w:rsid w:val="0012578B"/>
    <w:rsid w:val="00222218"/>
    <w:rsid w:val="002E6E8E"/>
    <w:rsid w:val="008B4F0E"/>
    <w:rsid w:val="009949C3"/>
    <w:rsid w:val="009F17FE"/>
    <w:rsid w:val="00A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47rosreestr" TargetMode="External"/><Relationship Id="rId5" Type="http://schemas.openxmlformats.org/officeDocument/2006/relationships/hyperlink" Target="mailto:press@47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cp:lastPrinted>2018-12-10T11:07:00Z</cp:lastPrinted>
  <dcterms:created xsi:type="dcterms:W3CDTF">2018-12-18T09:04:00Z</dcterms:created>
  <dcterms:modified xsi:type="dcterms:W3CDTF">2018-12-18T09:04:00Z</dcterms:modified>
</cp:coreProperties>
</file>